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</w:rPr>
        <w:t>УТВЕРЖДАЮ</w:t>
      </w:r>
    </w:p>
    <w:p>
      <w:pPr>
        <w:jc w:val="right"/>
      </w:pPr>
      <w:r>
        <w:t>Генеральный директор</w:t>
      </w:r>
    </w:p>
    <w:p>
      <w:pPr>
        <w:jc w:val="right"/>
      </w:pPr>
      <w:r>
        <w:t>[Наименование организации]</w:t>
      </w:r>
    </w:p>
    <w:p>
      <w:pPr>
        <w:jc w:val="right"/>
      </w:pPr>
      <w:r>
        <w:t>_________________ [ФИО]</w:t>
      </w:r>
    </w:p>
    <w:p>
      <w:pPr>
        <w:jc w:val="right"/>
      </w:pPr>
      <w:r>
        <w:t>«___» ____________ 20__ г.</w:t>
      </w:r>
    </w:p>
    <w:p/>
    <w:p>
      <w:pPr>
        <w:pStyle w:val="Title"/>
        <w:jc w:val="center"/>
      </w:pPr>
      <w:r>
        <w:t>ДОЛЖНОСТНАЯ ИНСТРУКЦИЯ</w:t>
      </w:r>
    </w:p>
    <w:p>
      <w:pPr>
        <w:pStyle w:val="Heading1"/>
        <w:jc w:val="center"/>
      </w:pPr>
      <w:r>
        <w:t>МЕНЕДЖЕРА ПО КАЧЕСТВУ</w:t>
      </w:r>
    </w:p>
    <w:p>
      <w:pPr>
        <w:jc w:val="center"/>
      </w:pPr>
      <w:r>
        <w:rPr>
          <w:i/>
        </w:rPr>
        <w:t>(привязка к требованиям ГОСТ Р ИСО 9001-2015 / ISO 9001:2015)</w:t>
      </w:r>
    </w:p>
    <w:p/>
    <w:p>
      <w:r>
        <w:t>[Наименование организации] — [г. Город]</w:t>
      </w:r>
    </w:p>
    <w:p/>
    <w:p>
      <w:pPr>
        <w:pStyle w:val="Heading2"/>
      </w:pPr>
      <w:r>
        <w:t>1. ОБЩИЕ ПОЛОЖЕНИЯ</w:t>
      </w:r>
    </w:p>
    <w:p>
      <w:pPr>
        <w:pStyle w:val="ListNumber"/>
      </w:pPr>
      <w:r>
        <w:t>1.1. Настоящая должностная инструкция определяет обязанности, права и ответственность Менеджера по качеству [Наименование организации] (далее — «Организация»).</w:t>
      </w:r>
    </w:p>
    <w:p>
      <w:pPr>
        <w:pStyle w:val="ListNumber"/>
      </w:pPr>
      <w:r>
        <w:t>1.2. Менеджер по качеству назначается на должность и освобождается от неё приказом Генерального директора Организации.</w:t>
      </w:r>
    </w:p>
    <w:p>
      <w:pPr>
        <w:pStyle w:val="ListNumber"/>
      </w:pPr>
      <w:r>
        <w:t>1.3. Менеджер по качеству непосредственно подчиняется: [Генеральному директору / Заместителю генерального директора по качеству — выбрать нужное].</w:t>
      </w:r>
    </w:p>
    <w:p>
      <w:pPr>
        <w:pStyle w:val="ListNumber"/>
      </w:pPr>
      <w:r>
        <w:t>1.4. В период временного отсутствия Менеджера по качеству его обязанности исполняет [ФИО или должность], назначаемый приказом Генерального директора.</w:t>
      </w:r>
    </w:p>
    <w:p>
      <w:pPr>
        <w:pStyle w:val="ListNumber"/>
      </w:pPr>
      <w:r>
        <w:t>1.5. В своей деятельности Менеджер по качеству руководствуется:</w:t>
        <w:br/>
        <w:t xml:space="preserve">  — ГОСТ Р ИСО 9001-2015 (ISO 9001:2015) «Системы менеджмента качества. Требования»;</w:t>
        <w:br/>
        <w:t xml:space="preserve">  — Профессиональным стандартом «Специалист по управлению качеством» (Приказ Минтруда России № 856н от 22.11.2021);</w:t>
        <w:br/>
        <w:t xml:space="preserve">  — Руководством по качеству Организации;</w:t>
        <w:br/>
        <w:t xml:space="preserve">  — Документированными процедурами СМК;</w:t>
        <w:br/>
        <w:t xml:space="preserve">  — Настоящей должностной инструкцией;</w:t>
        <w:br/>
        <w:t xml:space="preserve">  — Трудовым кодексом Российской Федерации.</w:t>
      </w:r>
    </w:p>
    <w:p>
      <w:pPr>
        <w:pStyle w:val="ListNumber"/>
      </w:pPr>
      <w:r>
        <w:t>1.6. Должность соответствует требованиям п. 5.3 ГОСТ Р ИСО 9001-2015 в части распределения ответственности и полномочий.</w:t>
      </w:r>
    </w:p>
    <w:p>
      <w:pPr>
        <w:pStyle w:val="Heading2"/>
      </w:pPr>
      <w:r>
        <w:t>2. КВАЛИФИКАЦИОННЫЕ ТРЕБОВАНИЯ</w:t>
      </w:r>
    </w:p>
    <w:p>
      <w:r>
        <w:t>2.1. Образование:</w:t>
      </w:r>
    </w:p>
    <w:p>
      <w:pPr>
        <w:pStyle w:val="ListBullet"/>
      </w:pPr>
      <w:r>
        <w:t>Высшее образование (технические или экономические специальности). Дополнительное профессиональное образование в области систем менеджмента качества — желательно.</w:t>
      </w:r>
    </w:p>
    <w:p>
      <w:r>
        <w:t>2.2. Опыт работы: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Отрасль</w:t>
            </w:r>
          </w:p>
        </w:tc>
        <w:tc>
          <w:tcPr>
            <w:tcW w:type="dxa" w:w="4320"/>
          </w:tcPr>
          <w:p>
            <w:r>
              <w:rPr>
                <w:b/>
              </w:rPr>
              <w:t>Требуемый опыт</w:t>
            </w:r>
          </w:p>
        </w:tc>
      </w:tr>
      <w:tr>
        <w:tc>
          <w:tcPr>
            <w:tcW w:type="dxa" w:w="4320"/>
          </w:tcPr>
          <w:p>
            <w:r>
              <w:t>Производственные предприятия</w:t>
            </w:r>
          </w:p>
        </w:tc>
        <w:tc>
          <w:tcPr>
            <w:tcW w:type="dxa" w:w="4320"/>
          </w:tcPr>
          <w:p>
            <w:r>
              <w:t>От 3 лет в сфере управления качеством или технического контроля</w:t>
            </w:r>
          </w:p>
        </w:tc>
      </w:tr>
      <w:tr>
        <w:tc>
          <w:tcPr>
            <w:tcW w:type="dxa" w:w="4320"/>
          </w:tcPr>
          <w:p>
            <w:r>
              <w:t>Сервисные компании</w:t>
            </w:r>
          </w:p>
        </w:tc>
        <w:tc>
          <w:tcPr>
            <w:tcW w:type="dxa" w:w="4320"/>
          </w:tcPr>
          <w:p>
            <w:r>
              <w:t>От 2 лет в операционном менеджменте или клиентском сервисе</w:t>
            </w:r>
          </w:p>
        </w:tc>
      </w:tr>
      <w:tr>
        <w:tc>
          <w:tcPr>
            <w:tcW w:type="dxa" w:w="4320"/>
          </w:tcPr>
          <w:p>
            <w:r>
              <w:t>IT-компании</w:t>
            </w:r>
          </w:p>
        </w:tc>
        <w:tc>
          <w:tcPr>
            <w:tcW w:type="dxa" w:w="4320"/>
          </w:tcPr>
          <w:p>
            <w:r>
              <w:t>От 2 лет в QA/QC или проектном управлении</w:t>
            </w:r>
          </w:p>
        </w:tc>
      </w:tr>
    </w:tbl>
    <w:p/>
    <w:p>
      <w:r>
        <w:t>2.3. Необходимые знания и навыки:</w:t>
      </w:r>
    </w:p>
    <w:p>
      <w:pPr>
        <w:pStyle w:val="ListBullet"/>
      </w:pPr>
      <w:r>
        <w:t>Знание требований ГОСТ Р ИСО 9001-2015 и умение трактовать их применительно к деятельности Организации</w:t>
      </w:r>
    </w:p>
    <w:p>
      <w:pPr>
        <w:pStyle w:val="ListBullet"/>
      </w:pPr>
      <w:r>
        <w:t>Процессный подход и цикл PDCA (Plan-Do-Check-Act)</w:t>
      </w:r>
    </w:p>
    <w:p>
      <w:pPr>
        <w:pStyle w:val="ListBullet"/>
      </w:pPr>
      <w:r>
        <w:t>Методы анализа рисков (FMEA, SWOT, матрица рисков)</w:t>
      </w:r>
    </w:p>
    <w:p>
      <w:pPr>
        <w:pStyle w:val="ListBullet"/>
      </w:pPr>
      <w:r>
        <w:t>Методы проведения внутренних аудитов по ГОСТ Р ИСО 19011</w:t>
      </w:r>
    </w:p>
    <w:p>
      <w:pPr>
        <w:pStyle w:val="ListBullet"/>
      </w:pPr>
      <w:r>
        <w:t>Статистические методы контроля качества (SPC, диаграмма Парето)</w:t>
      </w:r>
    </w:p>
    <w:p>
      <w:pPr>
        <w:pStyle w:val="ListBullet"/>
      </w:pPr>
      <w:r>
        <w:t>Работа с документированной информацией СМК</w:t>
      </w:r>
    </w:p>
    <w:p>
      <w:pPr>
        <w:pStyle w:val="ListBullet"/>
      </w:pPr>
      <w:r>
        <w:t>Навыки подготовки аналитических отчётов и презентаций</w:t>
      </w:r>
    </w:p>
    <w:p>
      <w:r>
        <w:t>2.4. Преимуществом является наличие сертификата:</w:t>
      </w:r>
    </w:p>
    <w:p>
      <w:pPr>
        <w:pStyle w:val="ListBullet"/>
      </w:pPr>
      <w:r>
        <w:t>Внутренний аудитор СМК ИСО 9001 (базовый уровень)</w:t>
      </w:r>
    </w:p>
    <w:p>
      <w:pPr>
        <w:pStyle w:val="ListBullet"/>
      </w:pPr>
      <w:r>
        <w:t>Ведущий аудитор ИСО 9001 — Lead Auditor (CQI/IRCA, TÜV, Bureau Veritas)</w:t>
      </w:r>
    </w:p>
    <w:p>
      <w:pPr>
        <w:pStyle w:val="ListBullet"/>
      </w:pPr>
      <w:r>
        <w:t>Менеджер СМК (CQI Level 5 или эквивалент)</w:t>
      </w:r>
    </w:p>
    <w:p>
      <w:pPr>
        <w:pStyle w:val="Heading2"/>
      </w:pPr>
      <w:r>
        <w:t>3. ДОЛЖНОСТНЫЕ ОБЯЗАННОСТИ</w:t>
      </w:r>
    </w:p>
    <w:p>
      <w:r>
        <w:t>Менеджер по качеству обязан:</w:t>
      </w:r>
    </w:p>
    <w:p>
      <w:r>
        <w:t>3.1. Контекст организации и планирование (п. 4.1, 4.2, 6.1, 6.2 ИСО 9001):</w:t>
      </w:r>
    </w:p>
    <w:p>
      <w:pPr>
        <w:pStyle w:val="ListBullet"/>
      </w:pPr>
      <w:r>
        <w:t>Анализировать внешние и внутренние факторы, влияющие на СМК, не реже 1 раза в год (п. 4.1)</w:t>
      </w:r>
    </w:p>
    <w:p>
      <w:pPr>
        <w:pStyle w:val="ListBullet"/>
      </w:pPr>
      <w:r>
        <w:t>Определять заинтересованные стороны и их требования, актуализировать перечень ежегодно (п. 4.2)</w:t>
      </w:r>
    </w:p>
    <w:p>
      <w:pPr>
        <w:pStyle w:val="ListBullet"/>
      </w:pPr>
      <w:r>
        <w:t>Формировать и вести реестр рисков и возможностей, ежеквартально актуализировать (п. 6.1)</w:t>
      </w:r>
    </w:p>
    <w:p>
      <w:pPr>
        <w:pStyle w:val="ListBullet"/>
      </w:pPr>
      <w:r>
        <w:t>Разрабатывать годовые цели в области качества, каскадировать по подразделениям (п. 6.2)</w:t>
      </w:r>
    </w:p>
    <w:p>
      <w:pPr>
        <w:pStyle w:val="ListBullet"/>
      </w:pPr>
      <w:r>
        <w:t>Планировать и документировать изменения в СМК (п. 6.3)</w:t>
      </w:r>
    </w:p>
    <w:p>
      <w:r>
        <w:t>3.2. Ресурсы и компетентность (п. 7.1, 7.2, 7.3, 7.5):</w:t>
      </w:r>
    </w:p>
    <w:p>
      <w:pPr>
        <w:pStyle w:val="ListBullet"/>
      </w:pPr>
      <w:r>
        <w:t>Определять потребности в ресурсах, необходимых для функционирования СМК (п. 7.1)</w:t>
      </w:r>
    </w:p>
    <w:p>
      <w:pPr>
        <w:pStyle w:val="ListBullet"/>
      </w:pPr>
      <w:r>
        <w:t>Формировать годовой план обучения персонала в области качества (п. 7.2)</w:t>
      </w:r>
    </w:p>
    <w:p>
      <w:pPr>
        <w:pStyle w:val="ListBullet"/>
      </w:pPr>
      <w:r>
        <w:t>Организовывать ознакомление новых сотрудников с политикой и целями в области качества (п. 7.3)</w:t>
      </w:r>
    </w:p>
    <w:p>
      <w:pPr>
        <w:pStyle w:val="ListBullet"/>
      </w:pPr>
      <w:r>
        <w:t>Вести реестр компетенций и записей об обучении (п. 7.2)</w:t>
      </w:r>
    </w:p>
    <w:p>
      <w:pPr>
        <w:pStyle w:val="ListBullet"/>
      </w:pPr>
      <w:r>
        <w:t>Управлять документированной информацией СМК: актуализация, хранение, доступность (п. 7.5)</w:t>
      </w:r>
    </w:p>
    <w:p>
      <w:r>
        <w:t>3.3. Операционная деятельность (п. 8.1, 8.4, 8.7):</w:t>
      </w:r>
    </w:p>
    <w:p>
      <w:pPr>
        <w:pStyle w:val="ListBullet"/>
      </w:pPr>
      <w:r>
        <w:t>Разрабатывать и актуализировать документированные процедуры процессов СМК (п. 8.1)</w:t>
      </w:r>
    </w:p>
    <w:p>
      <w:pPr>
        <w:pStyle w:val="ListBullet"/>
      </w:pPr>
      <w:r>
        <w:t>Участвовать в оценке и выборе поставщиков критически важных товаров и услуг (п. 8.4)</w:t>
      </w:r>
    </w:p>
    <w:p>
      <w:pPr>
        <w:pStyle w:val="ListBullet"/>
      </w:pPr>
      <w:r>
        <w:t>Координировать управление несоответствующей продукцией (услугами), вести реестр (п. 8.7)</w:t>
      </w:r>
    </w:p>
    <w:p>
      <w:r>
        <w:t>3.4. Мониторинг, анализ и улучшение (п. 9.1, 9.2, 9.3, 10.1, 10.2):</w:t>
      </w:r>
    </w:p>
    <w:p>
      <w:pPr>
        <w:pStyle w:val="ListBullet"/>
      </w:pPr>
      <w:r>
        <w:t>Организовывать и проводить внутренние аудиты СМК по утверждённой программе — не менее 2 полных циклов в год (п. 9.2)</w:t>
      </w:r>
    </w:p>
    <w:p>
      <w:pPr>
        <w:pStyle w:val="ListBullet"/>
      </w:pPr>
      <w:r>
        <w:t>Мониторить удовлетворённость клиентов: организовывать опросы, анализировать рекламации, рассчитывать NPS (п. 9.1.2)</w:t>
      </w:r>
    </w:p>
    <w:p>
      <w:pPr>
        <w:pStyle w:val="ListBullet"/>
      </w:pPr>
      <w:r>
        <w:t>Готовить материалы для анализа системы менеджмента со стороны руководства, не реже 2 раз в год (п. 9.3)</w:t>
      </w:r>
    </w:p>
    <w:p>
      <w:pPr>
        <w:pStyle w:val="ListBullet"/>
      </w:pPr>
      <w:r>
        <w:t>Вести реестр несоответствий и корректирующих действий, контролировать сроки закрытия (п. 10.2)</w:t>
      </w:r>
    </w:p>
    <w:p>
      <w:pPr>
        <w:pStyle w:val="ListBullet"/>
      </w:pPr>
      <w:r>
        <w:t>Анализировать данные по процессам, формировать предложения по улучшению СМК (п. 10.1)</w:t>
      </w:r>
    </w:p>
    <w:p>
      <w:pPr>
        <w:pStyle w:val="ListBullet"/>
      </w:pPr>
      <w:r>
        <w:t>Отчитываться перед руководством о результативности СМК на установленных совещаниях</w:t>
      </w:r>
    </w:p>
    <w:p>
      <w:pPr>
        <w:pStyle w:val="Heading2"/>
      </w:pPr>
      <w:r>
        <w:t>4. ПРАВА И ПОЛНОМОЧИЯ</w:t>
      </w:r>
    </w:p>
    <w:p>
      <w:r>
        <w:t>Менеджер по качеству вправе:</w:t>
      </w:r>
    </w:p>
    <w:p>
      <w:r>
        <w:t>4.1. Останавливать технологический процесс или приостанавливать оказание услуги при выявлении критического несоответствия, угрожающего качеству, до принятия решения руководством (п. 8.7 ИСО 9001).</w:t>
      </w:r>
    </w:p>
    <w:p>
      <w:r>
        <w:t>4.2. Запрашивать от любого подразделения Организации информацию, необходимую для функционирования СМК и проведения аудитов (п. 7.4 ИСО 9001).</w:t>
      </w:r>
    </w:p>
    <w:p>
      <w:r>
        <w:t>4.3. Инициировать разработку и контролировать выполнение корректирующих действий по выявленным несоответствиям (п. 10.2 ИСО 9001).</w:t>
      </w:r>
    </w:p>
    <w:p>
      <w:r>
        <w:t>4.4. Представлять Организацию перед внешними аудиторами и органами по сертификации (ИСО 9001 и иных стандартов).</w:t>
      </w:r>
    </w:p>
    <w:p>
      <w:r>
        <w:t>4.5. Вносить предложения руководству по изменению процессов, организационной структуры, закупкам оборудования в интересах системы менеджмента качества.</w:t>
      </w:r>
    </w:p>
    <w:p>
      <w:r>
        <w:t>4.6. Проводить внеплановые внутренние аудиты при получении рекламаций или выявлении системных несоответствий (п. 9.2 ИСО 9001).</w:t>
      </w:r>
    </w:p>
    <w:p>
      <w:r>
        <w:t>4.7. Участвовать в совещаниях руководства по вопросам, влияющим на качество продукции или услуг.</w:t>
      </w:r>
    </w:p>
    <w:p>
      <w:r>
        <w:t>4.8. Подписывать документированные процедуры СМК в рамках своей компетенции.</w:t>
      </w:r>
    </w:p>
    <w:p>
      <w:pPr>
        <w:pStyle w:val="Heading2"/>
      </w:pPr>
      <w:r>
        <w:t>5. ОТВЕТСТВЕННОСТЬ И KPI</w:t>
      </w:r>
    </w:p>
    <w:p>
      <w:r>
        <w:t>5.1. Менеджер по качеству несёт ответственность за:</w:t>
      </w:r>
    </w:p>
    <w:p>
      <w:pPr>
        <w:pStyle w:val="ListBullet"/>
      </w:pPr>
      <w:r>
        <w:t>Поддержание СМК в работоспособном состоянии, соответствующем требованиям ИСО 9001 и готовом к аудиту</w:t>
      </w:r>
    </w:p>
    <w:p>
      <w:pPr>
        <w:pStyle w:val="ListBullet"/>
      </w:pPr>
      <w:r>
        <w:t>Своевременное информирование руководства о рисках, несоответствиях и угрозах для качества</w:t>
      </w:r>
    </w:p>
    <w:p>
      <w:pPr>
        <w:pStyle w:val="ListBullet"/>
      </w:pPr>
      <w:r>
        <w:t>Сохранность, актуальность и конфиденциальность записей СМК</w:t>
      </w:r>
    </w:p>
    <w:p>
      <w:pPr>
        <w:pStyle w:val="ListBullet"/>
      </w:pPr>
      <w:r>
        <w:t>Объективность при проведении внутренних аудитов (аудитор не проверяет собственную работу — п. 9.2)</w:t>
      </w:r>
    </w:p>
    <w:p>
      <w:pPr>
        <w:pStyle w:val="ListBullet"/>
      </w:pPr>
      <w:r>
        <w:t>Достоверность отчётных данных, передаваемых на анализ со стороны руководства</w:t>
      </w:r>
    </w:p>
    <w:p/>
    <w:p>
      <w:r>
        <w:t>5.2. Ключевые показатели эффективности (KPI):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  <w:t>KPI</w:t>
            </w:r>
          </w:p>
        </w:tc>
        <w:tc>
          <w:tcPr>
            <w:tcW w:type="dxa" w:w="2160"/>
          </w:tcPr>
          <w:p>
            <w:r>
              <w:rPr>
                <w:b/>
              </w:rPr>
              <w:t>Целевое значение</w:t>
            </w:r>
          </w:p>
        </w:tc>
        <w:tc>
          <w:tcPr>
            <w:tcW w:type="dxa" w:w="2160"/>
          </w:tcPr>
          <w:p>
            <w:r>
              <w:rPr>
                <w:b/>
              </w:rPr>
              <w:t>Периодичность</w:t>
            </w:r>
          </w:p>
        </w:tc>
        <w:tc>
          <w:tcPr>
            <w:tcW w:type="dxa" w:w="2160"/>
          </w:tcPr>
          <w:p>
            <w:r>
              <w:rPr>
                <w:b/>
              </w:rPr>
              <w:t>Источник данных</w:t>
            </w:r>
          </w:p>
        </w:tc>
      </w:tr>
      <w:tr>
        <w:tc>
          <w:tcPr>
            <w:tcW w:type="dxa" w:w="2160"/>
          </w:tcPr>
          <w:p>
            <w:r>
              <w:t>Выполнение программы внутренних аудитов</w:t>
            </w:r>
          </w:p>
        </w:tc>
        <w:tc>
          <w:tcPr>
            <w:tcW w:type="dxa" w:w="2160"/>
          </w:tcPr>
          <w:p>
            <w:r>
              <w:t>≥ 90%</w:t>
            </w:r>
          </w:p>
        </w:tc>
        <w:tc>
          <w:tcPr>
            <w:tcW w:type="dxa" w:w="2160"/>
          </w:tcPr>
          <w:p>
            <w:r>
              <w:t>Квартал</w:t>
            </w:r>
          </w:p>
        </w:tc>
        <w:tc>
          <w:tcPr>
            <w:tcW w:type="dxa" w:w="2160"/>
          </w:tcPr>
          <w:p>
            <w:r>
              <w:t>Отчёты по аудитам</w:t>
            </w:r>
          </w:p>
        </w:tc>
      </w:tr>
      <w:tr>
        <w:tc>
          <w:tcPr>
            <w:tcW w:type="dxa" w:w="2160"/>
          </w:tcPr>
          <w:p>
            <w:r>
              <w:t>Закрытие КД (корректирующие действия) в срок</w:t>
            </w:r>
          </w:p>
        </w:tc>
        <w:tc>
          <w:tcPr>
            <w:tcW w:type="dxa" w:w="2160"/>
          </w:tcPr>
          <w:p>
            <w:r>
              <w:t>≥ 85%</w:t>
            </w:r>
          </w:p>
        </w:tc>
        <w:tc>
          <w:tcPr>
            <w:tcW w:type="dxa" w:w="2160"/>
          </w:tcPr>
          <w:p>
            <w:r>
              <w:t>Месяц</w:t>
            </w:r>
          </w:p>
        </w:tc>
        <w:tc>
          <w:tcPr>
            <w:tcW w:type="dxa" w:w="2160"/>
          </w:tcPr>
          <w:p>
            <w:r>
              <w:t>Реестр КД</w:t>
            </w:r>
          </w:p>
        </w:tc>
      </w:tr>
      <w:tr>
        <w:tc>
          <w:tcPr>
            <w:tcW w:type="dxa" w:w="2160"/>
          </w:tcPr>
          <w:p>
            <w:r>
              <w:t>Индекс удовлетворённости клиентов (CSI/NPS)</w:t>
            </w:r>
          </w:p>
        </w:tc>
        <w:tc>
          <w:tcPr>
            <w:tcW w:type="dxa" w:w="2160"/>
          </w:tcPr>
          <w:p>
            <w:r>
              <w:t>≥ 4,0 из 5,0</w:t>
            </w:r>
          </w:p>
        </w:tc>
        <w:tc>
          <w:tcPr>
            <w:tcW w:type="dxa" w:w="2160"/>
          </w:tcPr>
          <w:p>
            <w:r>
              <w:t>Квартал</w:t>
            </w:r>
          </w:p>
        </w:tc>
        <w:tc>
          <w:tcPr>
            <w:tcW w:type="dxa" w:w="2160"/>
          </w:tcPr>
          <w:p>
            <w:r>
              <w:t>Опросы, данные CRM</w:t>
            </w:r>
          </w:p>
        </w:tc>
      </w:tr>
      <w:tr>
        <w:tc>
          <w:tcPr>
            <w:tcW w:type="dxa" w:w="2160"/>
          </w:tcPr>
          <w:p>
            <w:r>
              <w:t>Доля повторных несоответствий</w:t>
            </w:r>
          </w:p>
        </w:tc>
        <w:tc>
          <w:tcPr>
            <w:tcW w:type="dxa" w:w="2160"/>
          </w:tcPr>
          <w:p>
            <w:r>
              <w:t>≤ 5%</w:t>
            </w:r>
          </w:p>
        </w:tc>
        <w:tc>
          <w:tcPr>
            <w:tcW w:type="dxa" w:w="2160"/>
          </w:tcPr>
          <w:p>
            <w:r>
              <w:t>Год</w:t>
            </w:r>
          </w:p>
        </w:tc>
        <w:tc>
          <w:tcPr>
            <w:tcW w:type="dxa" w:w="2160"/>
          </w:tcPr>
          <w:p>
            <w:r>
              <w:t>Реестр несоответствий</w:t>
            </w:r>
          </w:p>
        </w:tc>
      </w:tr>
      <w:tr>
        <w:tc>
          <w:tcPr>
            <w:tcW w:type="dxa" w:w="2160"/>
          </w:tcPr>
          <w:p>
            <w:r>
              <w:t>Проведение анализа со стороны руководства</w:t>
            </w:r>
          </w:p>
        </w:tc>
        <w:tc>
          <w:tcPr>
            <w:tcW w:type="dxa" w:w="2160"/>
          </w:tcPr>
          <w:p>
            <w:r>
              <w:t>2 раза в год (100%)</w:t>
            </w:r>
          </w:p>
        </w:tc>
        <w:tc>
          <w:tcPr>
            <w:tcW w:type="dxa" w:w="2160"/>
          </w:tcPr>
          <w:p>
            <w:r>
              <w:t>Полугодие</w:t>
            </w:r>
          </w:p>
        </w:tc>
        <w:tc>
          <w:tcPr>
            <w:tcW w:type="dxa" w:w="2160"/>
          </w:tcPr>
          <w:p>
            <w:r>
              <w:t>Протоколы</w:t>
            </w:r>
          </w:p>
        </w:tc>
      </w:tr>
      <w:tr>
        <w:tc>
          <w:tcPr>
            <w:tcW w:type="dxa" w:w="2160"/>
          </w:tcPr>
          <w:p>
            <w:r>
              <w:t>Актуальность документации СМК</w:t>
            </w:r>
          </w:p>
        </w:tc>
        <w:tc>
          <w:tcPr>
            <w:tcW w:type="dxa" w:w="2160"/>
          </w:tcPr>
          <w:p>
            <w:r>
              <w:t>100% пересмотрено</w:t>
            </w:r>
          </w:p>
        </w:tc>
        <w:tc>
          <w:tcPr>
            <w:tcW w:type="dxa" w:w="2160"/>
          </w:tcPr>
          <w:p>
            <w:r>
              <w:t>Год</w:t>
            </w:r>
          </w:p>
        </w:tc>
        <w:tc>
          <w:tcPr>
            <w:tcW w:type="dxa" w:w="2160"/>
          </w:tcPr>
          <w:p>
            <w:r>
              <w:t>Реестр документов</w:t>
            </w:r>
          </w:p>
        </w:tc>
      </w:tr>
    </w:tbl>
    <w:p/>
    <w:p>
      <w:pPr>
        <w:pStyle w:val="Heading2"/>
      </w:pPr>
      <w:r>
        <w:t>6. ВЗАИМОДЕЙСТВИЕ С ПОДРАЗДЕЛЕНИЯМИ</w:t>
      </w:r>
    </w:p>
    <w:p>
      <w:r>
        <w:t>В соответствии с п. 7.4 ИСО 9001 Менеджер по качеству выстраивает обмен информацией:</w:t>
      </w:r>
    </w:p>
    <w:p>
      <w:pPr>
        <w:pStyle w:val="ListBullet"/>
      </w:pPr>
      <w:r>
        <w:t>С производственными подразделениями — по вопросам управления несоответствующей продукцией, внутренних аудитов, реализации корректирующих действий</w:t>
      </w:r>
    </w:p>
    <w:p>
      <w:pPr>
        <w:pStyle w:val="ListBullet"/>
      </w:pPr>
      <w:r>
        <w:t>С отделом закупок / снабжения — по оценке, выбору и мониторингу поставщиков (п. 8.4)</w:t>
      </w:r>
    </w:p>
    <w:p>
      <w:pPr>
        <w:pStyle w:val="ListBullet"/>
      </w:pPr>
      <w:r>
        <w:t>С HR-отделом — по планированию и организации обучения персонала в области качества (п. 7.2)</w:t>
      </w:r>
    </w:p>
    <w:p>
      <w:pPr>
        <w:pStyle w:val="ListBullet"/>
      </w:pPr>
      <w:r>
        <w:t>С руководством организации — по вопросам анализа СМК, ресурсного обеспечения, утверждения политики и целей в области качества</w:t>
      </w:r>
    </w:p>
    <w:p>
      <w:pPr>
        <w:pStyle w:val="ListBullet"/>
      </w:pPr>
      <w:r>
        <w:t>С органом по сертификации — при проведении сертификационных и надзорных аудитов</w:t>
      </w:r>
    </w:p>
    <w:p>
      <w:pPr>
        <w:pStyle w:val="ListBullet"/>
      </w:pPr>
      <w:r>
        <w:t>С [другие подразделения — добавить по необходимости]</w:t>
      </w:r>
    </w:p>
    <w:p>
      <w:pPr>
        <w:pStyle w:val="Heading2"/>
      </w:pPr>
      <w:r>
        <w:t>7. ЗАКЛЮЧИТЕЛЬНЫЕ ПОЛОЖЕНИЯ</w:t>
      </w:r>
    </w:p>
    <w:p>
      <w:r>
        <w:t>7.1. Настоящая должностная инструкция составлена в соответствии с требованиями ГОСТ Р ИСО 9001-2015 (п. 5.3, 7.2) и Профессионального стандарта «Специалист по управлению качеством» (Приказ Минтруда России № 856н от 22.11.2021).</w:t>
      </w:r>
    </w:p>
    <w:p>
      <w:r>
        <w:t>7.2. Должностная инструкция вступает в силу с момента её утверждения Генеральным директором Организации.</w:t>
      </w:r>
    </w:p>
    <w:p>
      <w:r>
        <w:t>7.3. Пересмотр должностной инструкции осуществляется: в плановом порядке — не реже 1 раза в год при анализе со стороны руководства (п. 9.3 ИСО 9001); во внеплановом порядке — при изменении структуры Организации, области сертификации, требований стандарта или законодательства.</w:t>
      </w:r>
    </w:p>
    <w:p>
      <w:r>
        <w:t>7.4. Все изменения фиксируются в листе регистрации изменений. Версионность документа обязательна (п. 7.5 ИСО 9001).</w:t>
      </w:r>
    </w:p>
    <w:p/>
    <w:p/>
    <w:p>
      <w:r>
        <w:t>С должностной инструкцией ознакомлен(а):</w:t>
      </w:r>
    </w:p>
    <w:p/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Менеджер по качеству</w:t>
            </w:r>
          </w:p>
        </w:tc>
        <w:tc>
          <w:tcPr>
            <w:tcW w:type="dxa" w:w="2880"/>
          </w:tcPr>
          <w:p>
            <w:r>
              <w:t>_______________________</w:t>
            </w:r>
          </w:p>
        </w:tc>
        <w:tc>
          <w:tcPr>
            <w:tcW w:type="dxa" w:w="2880"/>
          </w:tcPr>
          <w:p>
            <w:r>
              <w:t>[ФИО]</w:t>
            </w:r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(подпись)</w:t>
            </w:r>
          </w:p>
        </w:tc>
        <w:tc>
          <w:tcPr>
            <w:tcW w:type="dxa" w:w="2880"/>
          </w:tcPr>
          <w:p>
            <w:r/>
          </w:p>
        </w:tc>
      </w:tr>
      <w:tr>
        <w:tc>
          <w:tcPr>
            <w:tcW w:type="dxa" w:w="2880"/>
          </w:tcPr>
          <w:p>
            <w:r>
              <w:t>Дата:</w:t>
            </w:r>
          </w:p>
        </w:tc>
        <w:tc>
          <w:tcPr>
            <w:tcW w:type="dxa" w:w="2880"/>
          </w:tcPr>
          <w:p>
            <w:r>
              <w:t>«___» ____________ 20__ г.</w:t>
            </w:r>
          </w:p>
        </w:tc>
        <w:tc>
          <w:tcPr>
            <w:tcW w:type="dxa" w:w="2880"/>
          </w:tcPr>
          <w:p>
            <w:r/>
          </w:p>
        </w:tc>
      </w:tr>
    </w:tbl>
    <w:p/>
    <w:p/>
    <w:p>
      <w:r>
        <w:t>Разработал: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[Должность разработчика]</w:t>
            </w:r>
          </w:p>
        </w:tc>
        <w:tc>
          <w:tcPr>
            <w:tcW w:type="dxa" w:w="2880"/>
          </w:tcPr>
          <w:p>
            <w:r>
              <w:t>_______________________</w:t>
            </w:r>
          </w:p>
        </w:tc>
        <w:tc>
          <w:tcPr>
            <w:tcW w:type="dxa" w:w="2880"/>
          </w:tcPr>
          <w:p>
            <w:r>
              <w:t>[ФИО]</w:t>
            </w:r>
          </w:p>
        </w:tc>
      </w:tr>
      <w:tr>
        <w:tc>
          <w:tcPr>
            <w:tcW w:type="dxa" w:w="2880"/>
          </w:tcPr>
          <w:p>
            <w:r/>
          </w:p>
        </w:tc>
        <w:tc>
          <w:tcPr>
            <w:tcW w:type="dxa" w:w="2880"/>
          </w:tcPr>
          <w:p>
            <w:r>
              <w:t>(подпись)</w:t>
            </w:r>
          </w:p>
        </w:tc>
        <w:tc>
          <w:tcPr>
            <w:tcW w:type="dxa" w:w="2880"/>
          </w:tcPr>
          <w:p>
            <w:r/>
          </w:p>
        </w:tc>
      </w:tr>
    </w:tbl>
    <w:p>
      <w:r>
        <w:br w:type="page"/>
      </w:r>
    </w:p>
    <w:p>
      <w:pPr>
        <w:pStyle w:val="Heading2"/>
      </w:pPr>
      <w:r>
        <w:t>ЛИСТ РЕГИСТРАЦИИ ИЗМЕНЕНИЙ</w:t>
      </w:r>
    </w:p>
    <w:p>
      <w:r>
        <w:t>Документ: Должностная инструкция менеджера по качеству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  <w:t>№ изменения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Дата внесения</w:t>
            </w:r>
          </w:p>
        </w:tc>
        <w:tc>
          <w:tcPr>
            <w:tcW w:type="dxa" w:w="1728"/>
          </w:tcPr>
          <w:p>
            <w:r>
              <w:rPr>
                <w:b/>
              </w:rPr>
              <w:t>Раздел / пункт</w:t>
            </w:r>
          </w:p>
        </w:tc>
        <w:tc>
          <w:tcPr>
            <w:tcW w:type="dxa" w:w="1728"/>
          </w:tcPr>
          <w:p>
            <w:r>
              <w:rPr>
                <w:b/>
              </w:rPr>
              <w:t>Краткое описание изменения</w:t>
            </w:r>
          </w:p>
        </w:tc>
        <w:tc>
          <w:tcPr>
            <w:tcW w:type="dxa" w:w="1728"/>
          </w:tcPr>
          <w:p>
            <w:r>
              <w:rPr>
                <w:b/>
              </w:rPr>
              <w:t>ФИО, подпись</w:t>
            </w:r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