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3C6B"/>
          <w:sz w:val="28"/>
        </w:rPr>
        <w:t>ПЛАН КОРРЕКТИРУЮЩИХ ДЕЙСТВИЙ</w:t>
      </w:r>
    </w:p>
    <w:p>
      <w:pPr>
        <w:jc w:val="left"/>
      </w:pPr>
      <w:r>
        <w:rPr>
          <w:b w:val="0"/>
          <w:sz w:val="24"/>
        </w:rPr>
        <w:t>(Форма по п. 10.2 ГОСТ Р ИСО 9001-2015 / ISO 9001:2015)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2422"/>
            <w:shd w:val="clear" w:color="auto" w:fill="D6E4F7"/>
          </w:tcPr>
          <w:p>
            <w:r>
              <w:rPr>
                <w:b/>
              </w:rPr>
              <w:t>Номер КД</w:t>
            </w:r>
          </w:p>
        </w:tc>
        <w:tc>
          <w:tcPr>
            <w:tcW w:type="dxa" w:w="2422"/>
            <w:shd w:val="clear" w:color="auto" w:fill="D6E4F7"/>
          </w:tcPr>
          <w:p>
            <w:r>
              <w:rPr>
                <w:b/>
              </w:rPr>
              <w:t>Дата открытия</w:t>
            </w:r>
          </w:p>
        </w:tc>
        <w:tc>
          <w:tcPr>
            <w:tcW w:type="dxa" w:w="2422"/>
            <w:shd w:val="clear" w:color="auto" w:fill="D6E4F7"/>
          </w:tcPr>
          <w:p>
            <w:r>
              <w:rPr>
                <w:b/>
              </w:rPr>
              <w:t>Статус</w:t>
            </w:r>
          </w:p>
        </w:tc>
        <w:tc>
          <w:tcPr>
            <w:tcW w:type="dxa" w:w="2422"/>
            <w:shd w:val="clear" w:color="auto" w:fill="D6E4F7"/>
          </w:tcPr>
          <w:p>
            <w:r>
              <w:rPr>
                <w:b/>
              </w:rPr>
              <w:t>Версия</w:t>
            </w:r>
          </w:p>
        </w:tc>
      </w:tr>
      <w:tr>
        <w:tc>
          <w:tcPr>
            <w:tcW w:type="dxa" w:w="2422"/>
          </w:tcPr>
          <w:p>
            <w:r>
              <w:t>КД-____-___</w:t>
            </w:r>
          </w:p>
        </w:tc>
        <w:tc>
          <w:tcPr>
            <w:tcW w:type="dxa" w:w="2422"/>
          </w:tcPr>
          <w:p>
            <w:r>
              <w:t>__.__.20__</w:t>
            </w:r>
          </w:p>
        </w:tc>
        <w:tc>
          <w:tcPr>
            <w:tcW w:type="dxa" w:w="2422"/>
          </w:tcPr>
          <w:p>
            <w:r>
              <w:t>Открыт</w:t>
            </w:r>
          </w:p>
        </w:tc>
        <w:tc>
          <w:tcPr>
            <w:tcW w:type="dxa" w:w="2422"/>
          </w:tcPr>
          <w:p>
            <w:r>
              <w:t>1.0</w:t>
            </w:r>
          </w:p>
        </w:tc>
      </w:tr>
    </w:tbl>
    <w:p/>
    <w:p>
      <w:pPr>
        <w:spacing w:before="240" w:after="80"/>
      </w:pPr>
      <w:r>
        <w:rPr>
          <w:b/>
          <w:color w:val="1A3C6B"/>
          <w:sz w:val="22"/>
        </w:rPr>
        <w:t>РАЗДЕЛ 1: РЕГИСТРАЦИЯ НЕСООТВЕТСТВИЯ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Источник выявления</w:t>
            </w:r>
          </w:p>
        </w:tc>
        <w:tc>
          <w:tcPr>
            <w:tcW w:type="dxa" w:w="4844"/>
          </w:tcPr>
          <w:p>
            <w:r>
              <w:t>□ Внутренний аудит  □ Жалоба клиента  □ Мониторинг процесса</w:t>
              <w:br/>
              <w:t>□ Инспекционный аудит  □ Иное: _________________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Процесс / Подразделение</w:t>
            </w:r>
          </w:p>
        </w:tc>
        <w:tc>
          <w:tcPr>
            <w:tcW w:type="dxa" w:w="4844"/>
          </w:tcPr>
          <w:p>
            <w:r/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Пункт стандарта ИСО 9001</w:t>
            </w:r>
          </w:p>
        </w:tc>
        <w:tc>
          <w:tcPr>
            <w:tcW w:type="dxa" w:w="4844"/>
          </w:tcPr>
          <w:p>
            <w:r>
              <w:t>П. ___.___ ИСО 9001:2015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Обнаружил (ФИО, должность)</w:t>
            </w:r>
          </w:p>
        </w:tc>
        <w:tc>
          <w:tcPr>
            <w:tcW w:type="dxa" w:w="4844"/>
          </w:tcPr>
          <w:p>
            <w:r/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Дата обнаружения</w:t>
            </w:r>
          </w:p>
        </w:tc>
        <w:tc>
          <w:tcPr>
            <w:tcW w:type="dxa" w:w="4844"/>
          </w:tcPr>
          <w:p>
            <w:r>
              <w:t>__.__.20__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Описание несоответствия</w:t>
              <w:br/>
              <w:t>(конкретно: что, где, когда, сколько)</w:t>
            </w:r>
          </w:p>
        </w:tc>
        <w:tc>
          <w:tcPr>
            <w:tcW w:type="dxa" w:w="4844"/>
          </w:tcPr>
          <w:p>
            <w:r/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Ссылки на записи / свидетельства</w:t>
            </w:r>
          </w:p>
        </w:tc>
        <w:tc>
          <w:tcPr>
            <w:tcW w:type="dxa" w:w="4844"/>
          </w:tcPr>
          <w:p>
            <w:r/>
          </w:p>
        </w:tc>
      </w:tr>
    </w:tbl>
    <w:p/>
    <w:p>
      <w:pPr>
        <w:spacing w:before="240" w:after="80"/>
      </w:pPr>
      <w:r>
        <w:rPr>
          <w:b/>
          <w:color w:val="1A3C6B"/>
          <w:sz w:val="22"/>
        </w:rPr>
        <w:t>РАЗДЕЛ 2: НЕМЕДЛЕННАЯ КОРРЕКЦИЯ</w:t>
      </w:r>
    </w:p>
    <w:p>
      <w:r>
        <w:t>Коррекция — устранение последствий несоответствия (изоляция, переделка, уведомление клиента). НЕ путать с корректирующим действием.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Предпринятые меры</w:t>
              <w:br/>
              <w:t>(что конкретно сделано)</w:t>
            </w:r>
          </w:p>
        </w:tc>
        <w:tc>
          <w:tcPr>
            <w:tcW w:type="dxa" w:w="4844"/>
          </w:tcPr>
          <w:p>
            <w:r/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Ответственный исполнитель</w:t>
            </w:r>
          </w:p>
        </w:tc>
        <w:tc>
          <w:tcPr>
            <w:tcW w:type="dxa" w:w="4844"/>
          </w:tcPr>
          <w:p>
            <w:r/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Дата выполнения</w:t>
            </w:r>
          </w:p>
        </w:tc>
        <w:tc>
          <w:tcPr>
            <w:tcW w:type="dxa" w:w="4844"/>
          </w:tcPr>
          <w:p>
            <w:r>
              <w:t>__.__.20__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Подтверждение выполнения</w:t>
              <w:br/>
              <w:t>(документ, запись)</w:t>
            </w:r>
          </w:p>
        </w:tc>
        <w:tc>
          <w:tcPr>
            <w:tcW w:type="dxa" w:w="4844"/>
          </w:tcPr>
          <w:p>
            <w:r/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Последствия для клиента</w:t>
              <w:br/>
              <w:t>(уведомлён? компенсация?)</w:t>
            </w:r>
          </w:p>
        </w:tc>
        <w:tc>
          <w:tcPr>
            <w:tcW w:type="dxa" w:w="4844"/>
          </w:tcPr>
          <w:p>
            <w:r>
              <w:t>□ Да (дата уведомления: __________)  □ Нет</w:t>
            </w:r>
          </w:p>
        </w:tc>
      </w:tr>
    </w:tbl>
    <w:p/>
    <w:p>
      <w:pPr>
        <w:spacing w:before="240" w:after="80"/>
      </w:pPr>
      <w:r>
        <w:rPr>
          <w:b/>
          <w:color w:val="1A3C6B"/>
          <w:sz w:val="22"/>
        </w:rPr>
        <w:t>РАЗДЕЛ 3: АНАЛИЗ КОРЕННОЙ ПРИЧИНЫ (МЕТОД «5 ПОЧЕМУ»)</w:t>
      </w:r>
    </w:p>
    <w:p>
      <w:r>
        <w:t>Задавайте вопрос «Почему?» к предыдущему ответу, а не к исходной проблеме. 3 уровня — снимают симптом, 5 уровней — добираются до коренной причины.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3230"/>
            <w:shd w:val="clear" w:color="auto" w:fill="D6E4F7"/>
          </w:tcPr>
          <w:p>
            <w:r>
              <w:rPr>
                <w:b/>
              </w:rPr>
              <w:t>Уровень</w:t>
            </w:r>
          </w:p>
        </w:tc>
        <w:tc>
          <w:tcPr>
            <w:tcW w:type="dxa" w:w="3230"/>
            <w:shd w:val="clear" w:color="auto" w:fill="D6E4F7"/>
          </w:tcPr>
          <w:p>
            <w:r>
              <w:rPr>
                <w:b/>
              </w:rPr>
              <w:t>Вопрос «Почему?»</w:t>
            </w:r>
          </w:p>
        </w:tc>
        <w:tc>
          <w:tcPr>
            <w:tcW w:type="dxa" w:w="3230"/>
            <w:shd w:val="clear" w:color="auto" w:fill="D6E4F7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3230"/>
          </w:tcPr>
          <w:p>
            <w:r>
              <w:t>Почему 1</w:t>
            </w:r>
          </w:p>
        </w:tc>
        <w:tc>
          <w:tcPr>
            <w:tcW w:type="dxa" w:w="3230"/>
          </w:tcPr>
          <w:p/>
        </w:tc>
        <w:tc>
          <w:tcPr>
            <w:tcW w:type="dxa" w:w="3230"/>
          </w:tcPr>
          <w:p/>
        </w:tc>
      </w:tr>
      <w:tr>
        <w:tc>
          <w:tcPr>
            <w:tcW w:type="dxa" w:w="3230"/>
          </w:tcPr>
          <w:p>
            <w:r>
              <w:t>Почему 2</w:t>
            </w:r>
          </w:p>
        </w:tc>
        <w:tc>
          <w:tcPr>
            <w:tcW w:type="dxa" w:w="3230"/>
          </w:tcPr>
          <w:p/>
        </w:tc>
        <w:tc>
          <w:tcPr>
            <w:tcW w:type="dxa" w:w="3230"/>
          </w:tcPr>
          <w:p/>
        </w:tc>
      </w:tr>
      <w:tr>
        <w:tc>
          <w:tcPr>
            <w:tcW w:type="dxa" w:w="3230"/>
          </w:tcPr>
          <w:p>
            <w:r>
              <w:t>Почему 3</w:t>
            </w:r>
          </w:p>
        </w:tc>
        <w:tc>
          <w:tcPr>
            <w:tcW w:type="dxa" w:w="3230"/>
          </w:tcPr>
          <w:p/>
        </w:tc>
        <w:tc>
          <w:tcPr>
            <w:tcW w:type="dxa" w:w="3230"/>
          </w:tcPr>
          <w:p/>
        </w:tc>
      </w:tr>
      <w:tr>
        <w:tc>
          <w:tcPr>
            <w:tcW w:type="dxa" w:w="3230"/>
          </w:tcPr>
          <w:p>
            <w:r>
              <w:t>Почему 4</w:t>
            </w:r>
          </w:p>
        </w:tc>
        <w:tc>
          <w:tcPr>
            <w:tcW w:type="dxa" w:w="3230"/>
          </w:tcPr>
          <w:p/>
        </w:tc>
        <w:tc>
          <w:tcPr>
            <w:tcW w:type="dxa" w:w="3230"/>
          </w:tcPr>
          <w:p/>
        </w:tc>
      </w:tr>
      <w:tr>
        <w:tc>
          <w:tcPr>
            <w:tcW w:type="dxa" w:w="3230"/>
          </w:tcPr>
          <w:p>
            <w:r>
              <w:t>Почему 5</w:t>
            </w:r>
          </w:p>
        </w:tc>
        <w:tc>
          <w:tcPr>
            <w:tcW w:type="dxa" w:w="3230"/>
          </w:tcPr>
          <w:p/>
        </w:tc>
        <w:tc>
          <w:tcPr>
            <w:tcW w:type="dxa" w:w="3230"/>
          </w:tcPr>
          <w:p/>
        </w:tc>
      </w:tr>
    </w:tbl>
    <w:p/>
    <w:p>
      <w:r>
        <w:rPr>
          <w:b/>
        </w:rPr>
        <w:t xml:space="preserve">Коренная причина (итоговая формулировка): 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/>
    <w:p>
      <w:pPr>
        <w:spacing w:before="240" w:after="80"/>
      </w:pPr>
      <w:r>
        <w:rPr>
          <w:b/>
          <w:color w:val="1A3C6B"/>
          <w:sz w:val="22"/>
        </w:rPr>
        <w:t>РАЗДЕЛ 4: ОЦЕНКА МАСШТАБА (АНАЛОГИЧНЫЕ ПРОЦЕССЫ)</w:t>
      </w:r>
    </w:p>
    <w:p>
      <w:r>
        <w:t>Проверьте: есть ли аналогичная проблема в других процессах, подразделениях, на других площадках (п. 10.2.1, подп. d).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Проверенные процессы / подразделения</w:t>
            </w:r>
          </w:p>
        </w:tc>
        <w:tc>
          <w:tcPr>
            <w:tcW w:type="dxa" w:w="4844"/>
          </w:tcPr>
          <w:p>
            <w:r/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Обнаружены ли аналогичные несоответствия?</w:t>
            </w:r>
          </w:p>
        </w:tc>
        <w:tc>
          <w:tcPr>
            <w:tcW w:type="dxa" w:w="4844"/>
          </w:tcPr>
          <w:p>
            <w:r>
              <w:t>□ Да (указать): ___________  □ Нет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Вывод о системности</w:t>
            </w:r>
          </w:p>
        </w:tc>
        <w:tc>
          <w:tcPr>
            <w:tcW w:type="dxa" w:w="4844"/>
          </w:tcPr>
          <w:p>
            <w:r>
              <w:t>□ Единичный случай  □ Системная проблема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Дополнительные корректирующие действия</w:t>
              <w:br/>
              <w:t>(если проблема системная)</w:t>
            </w:r>
          </w:p>
        </w:tc>
        <w:tc>
          <w:tcPr>
            <w:tcW w:type="dxa" w:w="4844"/>
          </w:tcPr>
          <w:p>
            <w:r/>
          </w:p>
        </w:tc>
      </w:tr>
    </w:tbl>
    <w:p/>
    <w:p>
      <w:pPr>
        <w:spacing w:before="240" w:after="80"/>
      </w:pPr>
      <w:r>
        <w:rPr>
          <w:b/>
          <w:color w:val="1A3C6B"/>
          <w:sz w:val="22"/>
        </w:rPr>
        <w:t>РАЗДЕЛ 5: ПЛАН КОРРЕКТИРУЮЩИХ ДЕЙСТВИЙ</w:t>
      </w:r>
    </w:p>
    <w:p>
      <w:r>
        <w:t>Действия должны устранять коренную причину (раздел 3), а не симптом.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1615"/>
            <w:shd w:val="clear" w:color="auto" w:fill="D6E4F7"/>
          </w:tcPr>
          <w:p>
            <w:r>
              <w:rPr>
                <w:b/>
              </w:rPr>
              <w:t>№</w:t>
            </w:r>
          </w:p>
        </w:tc>
        <w:tc>
          <w:tcPr>
            <w:tcW w:type="dxa" w:w="1615"/>
            <w:shd w:val="clear" w:color="auto" w:fill="D6E4F7"/>
          </w:tcPr>
          <w:p>
            <w:r>
              <w:rPr>
                <w:b/>
              </w:rPr>
              <w:t>Корректирующее действие</w:t>
            </w:r>
          </w:p>
        </w:tc>
        <w:tc>
          <w:tcPr>
            <w:tcW w:type="dxa" w:w="1615"/>
            <w:shd w:val="clear" w:color="auto" w:fill="D6E4F7"/>
          </w:tcPr>
          <w:p>
            <w:r>
              <w:rPr>
                <w:b/>
              </w:rPr>
              <w:t>Ответственный</w:t>
            </w:r>
          </w:p>
        </w:tc>
        <w:tc>
          <w:tcPr>
            <w:tcW w:type="dxa" w:w="1615"/>
            <w:shd w:val="clear" w:color="auto" w:fill="D6E4F7"/>
          </w:tcPr>
          <w:p>
            <w:r>
              <w:rPr>
                <w:b/>
              </w:rPr>
              <w:t>Срок</w:t>
            </w:r>
          </w:p>
        </w:tc>
        <w:tc>
          <w:tcPr>
            <w:tcW w:type="dxa" w:w="1615"/>
            <w:shd w:val="clear" w:color="auto" w:fill="D6E4F7"/>
          </w:tcPr>
          <w:p>
            <w:r>
              <w:rPr>
                <w:b/>
              </w:rPr>
              <w:t>Ресурсы</w:t>
            </w:r>
          </w:p>
        </w:tc>
        <w:tc>
          <w:tcPr>
            <w:tcW w:type="dxa" w:w="1615"/>
            <w:shd w:val="clear" w:color="auto" w:fill="D6E4F7"/>
          </w:tcPr>
          <w:p>
            <w:r>
              <w:rPr>
                <w:b/>
              </w:rPr>
              <w:t>Ожидаемый результат</w:t>
            </w:r>
          </w:p>
        </w:tc>
      </w:tr>
      <w:tr>
        <w:tc>
          <w:tcPr>
            <w:tcW w:type="dxa" w:w="1615"/>
          </w:tcPr>
          <w:p>
            <w:r>
              <w:t>1</w:t>
            </w:r>
          </w:p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</w:tr>
      <w:tr>
        <w:tc>
          <w:tcPr>
            <w:tcW w:type="dxa" w:w="1615"/>
          </w:tcPr>
          <w:p>
            <w:r>
              <w:t>2</w:t>
            </w:r>
          </w:p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</w:tr>
      <w:tr>
        <w:tc>
          <w:tcPr>
            <w:tcW w:type="dxa" w:w="1615"/>
          </w:tcPr>
          <w:p>
            <w:r>
              <w:t>3</w:t>
            </w:r>
          </w:p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</w:tr>
      <w:tr>
        <w:tc>
          <w:tcPr>
            <w:tcW w:type="dxa" w:w="1615"/>
          </w:tcPr>
          <w:p>
            <w:r>
              <w:t>4</w:t>
            </w:r>
          </w:p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  <w:tc>
          <w:tcPr>
            <w:tcW w:type="dxa" w:w="1615"/>
          </w:tcPr>
          <w:p/>
        </w:tc>
      </w:tr>
    </w:tbl>
    <w:p/>
    <w:p>
      <w:pPr>
        <w:spacing w:before="240" w:after="80"/>
      </w:pPr>
      <w:r>
        <w:rPr>
          <w:b/>
          <w:color w:val="1A3C6B"/>
          <w:sz w:val="22"/>
        </w:rPr>
        <w:t>РАЗДЕЛ 6: ВЕРИФИКАЦИЯ РЕЗУЛЬТАТИВНОСТИ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Метод проверки результативности</w:t>
            </w:r>
          </w:p>
        </w:tc>
        <w:tc>
          <w:tcPr>
            <w:tcW w:type="dxa" w:w="4844"/>
          </w:tcPr>
          <w:p>
            <w:r>
              <w:t>□ Повторный аудит  □ Мониторинг показателей  □ Анализ данных  □ Иное: ___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Критерий успеха</w:t>
              <w:br/>
              <w:t>(измеримый)</w:t>
            </w:r>
          </w:p>
        </w:tc>
        <w:tc>
          <w:tcPr>
            <w:tcW w:type="dxa" w:w="4844"/>
          </w:tcPr>
          <w:p>
            <w:r/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Плановая дата верификации</w:t>
            </w:r>
          </w:p>
        </w:tc>
        <w:tc>
          <w:tcPr>
            <w:tcW w:type="dxa" w:w="4844"/>
          </w:tcPr>
          <w:p>
            <w:r>
              <w:t>__.__.20__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Фактическая дата верификации</w:t>
            </w:r>
          </w:p>
        </w:tc>
        <w:tc>
          <w:tcPr>
            <w:tcW w:type="dxa" w:w="4844"/>
          </w:tcPr>
          <w:p>
            <w:r>
              <w:t>__.__.20__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Результат верификации</w:t>
            </w:r>
          </w:p>
        </w:tc>
        <w:tc>
          <w:tcPr>
            <w:tcW w:type="dxa" w:w="4844"/>
          </w:tcPr>
          <w:p>
            <w:r/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Решение</w:t>
            </w:r>
          </w:p>
        </w:tc>
        <w:tc>
          <w:tcPr>
            <w:tcW w:type="dxa" w:w="4844"/>
          </w:tcPr>
          <w:p>
            <w:r>
              <w:t>□ КД результативно — ЗАКРЫТЬ   □ КД нерезультативно — повторный анализ</w:t>
            </w:r>
          </w:p>
        </w:tc>
      </w:tr>
    </w:tbl>
    <w:p/>
    <w:p>
      <w:pPr>
        <w:spacing w:before="240" w:after="80"/>
      </w:pPr>
      <w:r>
        <w:rPr>
          <w:b/>
          <w:color w:val="1A3C6B"/>
          <w:sz w:val="22"/>
        </w:rPr>
        <w:t>РАЗДЕЛ 7: СВЯЗЬ С РЕЕСТРОМ РИСКОВ (П. 6.1 ИСО 9001)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Требуется обновление реестра рисков?</w:t>
            </w:r>
          </w:p>
        </w:tc>
        <w:tc>
          <w:tcPr>
            <w:tcW w:type="dxa" w:w="4844"/>
          </w:tcPr>
          <w:p>
            <w:r>
              <w:t>□ Да  □ Нет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Идентификатор риска в реестре</w:t>
            </w:r>
          </w:p>
        </w:tc>
        <w:tc>
          <w:tcPr>
            <w:tcW w:type="dxa" w:w="4844"/>
          </w:tcPr>
          <w:p>
            <w:r/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Изменение оценки риска</w:t>
              <w:br/>
              <w:t>(вероятность / последствия)</w:t>
            </w:r>
          </w:p>
        </w:tc>
        <w:tc>
          <w:tcPr>
            <w:tcW w:type="dxa" w:w="4844"/>
          </w:tcPr>
          <w:p>
            <w:r/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Дата обновления реестра рисков</w:t>
            </w:r>
          </w:p>
        </w:tc>
        <w:tc>
          <w:tcPr>
            <w:tcW w:type="dxa" w:w="4844"/>
          </w:tcPr>
          <w:p>
            <w:r>
              <w:t>__.__.20__</w:t>
            </w:r>
          </w:p>
        </w:tc>
      </w:tr>
    </w:tbl>
    <w:p/>
    <w:p>
      <w:pPr>
        <w:spacing w:before="240" w:after="80"/>
      </w:pPr>
      <w:r>
        <w:rPr>
          <w:b/>
          <w:color w:val="1A3C6B"/>
          <w:sz w:val="22"/>
        </w:rPr>
        <w:t>РАЗДЕЛ : ПОДПИСИ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3230"/>
            <w:shd w:val="clear" w:color="auto" w:fill="D6E4F7"/>
          </w:tcPr>
          <w:p>
            <w:r>
              <w:rPr>
                <w:b/>
              </w:rPr>
              <w:t>Роль</w:t>
            </w:r>
          </w:p>
        </w:tc>
        <w:tc>
          <w:tcPr>
            <w:tcW w:type="dxa" w:w="3230"/>
            <w:shd w:val="clear" w:color="auto" w:fill="D6E4F7"/>
          </w:tcPr>
          <w:p>
            <w:r>
              <w:rPr>
                <w:b/>
              </w:rPr>
              <w:t>ФИО, должность</w:t>
            </w:r>
          </w:p>
        </w:tc>
        <w:tc>
          <w:tcPr>
            <w:tcW w:type="dxa" w:w="3230"/>
            <w:shd w:val="clear" w:color="auto" w:fill="D6E4F7"/>
          </w:tcPr>
          <w:p>
            <w:r>
              <w:rPr>
                <w:b/>
              </w:rPr>
              <w:t>Подпись / Дата</w:t>
            </w:r>
          </w:p>
        </w:tc>
      </w:tr>
      <w:tr>
        <w:tc>
          <w:tcPr>
            <w:tcW w:type="dxa" w:w="3230"/>
          </w:tcPr>
          <w:p>
            <w:r>
              <w:t>Инициатор (кто выявил)</w:t>
            </w:r>
          </w:p>
        </w:tc>
        <w:tc>
          <w:tcPr>
            <w:tcW w:type="dxa" w:w="3230"/>
          </w:tcPr>
          <w:p>
            <w:r/>
          </w:p>
        </w:tc>
        <w:tc>
          <w:tcPr>
            <w:tcW w:type="dxa" w:w="3230"/>
          </w:tcPr>
          <w:p>
            <w:r/>
          </w:p>
        </w:tc>
      </w:tr>
      <w:tr>
        <w:tc>
          <w:tcPr>
            <w:tcW w:type="dxa" w:w="3230"/>
          </w:tcPr>
          <w:p>
            <w:r>
              <w:t>Ответственный исполнитель</w:t>
            </w:r>
          </w:p>
        </w:tc>
        <w:tc>
          <w:tcPr>
            <w:tcW w:type="dxa" w:w="3230"/>
          </w:tcPr>
          <w:p>
            <w:r/>
          </w:p>
        </w:tc>
        <w:tc>
          <w:tcPr>
            <w:tcW w:type="dxa" w:w="3230"/>
          </w:tcPr>
          <w:p>
            <w:r/>
          </w:p>
        </w:tc>
      </w:tr>
      <w:tr>
        <w:tc>
          <w:tcPr>
            <w:tcW w:type="dxa" w:w="3230"/>
          </w:tcPr>
          <w:p>
            <w:r>
              <w:t>Уполномоченный по качеству / Руководитель процесса</w:t>
            </w:r>
          </w:p>
        </w:tc>
        <w:tc>
          <w:tcPr>
            <w:tcW w:type="dxa" w:w="3230"/>
          </w:tcPr>
          <w:p>
            <w:r/>
          </w:p>
        </w:tc>
        <w:tc>
          <w:tcPr>
            <w:tcW w:type="dxa" w:w="3230"/>
          </w:tcPr>
          <w:p>
            <w:r/>
          </w:p>
        </w:tc>
      </w:tr>
    </w:tbl>
    <w:p/>
    <w:p>
      <w:r>
        <w:br w:type="page"/>
      </w:r>
    </w:p>
    <w:p>
      <w:pPr>
        <w:jc w:val="center"/>
      </w:pPr>
      <w:r>
        <w:rPr>
          <w:b/>
          <w:color w:val="1A3C6B"/>
          <w:sz w:val="28"/>
        </w:rPr>
        <w:t>ПРИЛОЖЕНИЕ: ЗАПОЛНЕННЫЙ ПРИМЕР</w:t>
      </w:r>
    </w:p>
    <w:p>
      <w:pPr>
        <w:jc w:val="left"/>
      </w:pPr>
      <w:r>
        <w:rPr>
          <w:b w:val="0"/>
          <w:sz w:val="24"/>
        </w:rPr>
        <w:t>Несоответствие при внутреннем аудите (производственная компания)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2422"/>
            <w:shd w:val="clear" w:color="auto" w:fill="D6E4F7"/>
          </w:tcPr>
          <w:p>
            <w:r>
              <w:rPr>
                <w:b/>
              </w:rPr>
              <w:t>Номер КД</w:t>
            </w:r>
          </w:p>
        </w:tc>
        <w:tc>
          <w:tcPr>
            <w:tcW w:type="dxa" w:w="2422"/>
            <w:shd w:val="clear" w:color="auto" w:fill="D6E4F7"/>
          </w:tcPr>
          <w:p>
            <w:r>
              <w:rPr>
                <w:b/>
              </w:rPr>
              <w:t>Дата</w:t>
            </w:r>
          </w:p>
        </w:tc>
        <w:tc>
          <w:tcPr>
            <w:tcW w:type="dxa" w:w="2422"/>
            <w:shd w:val="clear" w:color="auto" w:fill="D6E4F7"/>
          </w:tcPr>
          <w:p>
            <w:r>
              <w:rPr>
                <w:b/>
              </w:rPr>
              <w:t>Статус</w:t>
            </w:r>
          </w:p>
        </w:tc>
        <w:tc>
          <w:tcPr>
            <w:tcW w:type="dxa" w:w="2422"/>
            <w:shd w:val="clear" w:color="auto" w:fill="D6E4F7"/>
          </w:tcPr>
          <w:p>
            <w:r>
              <w:rPr>
                <w:b/>
              </w:rPr>
              <w:t>Процесс</w:t>
            </w:r>
          </w:p>
        </w:tc>
      </w:tr>
      <w:tr>
        <w:tc>
          <w:tcPr>
            <w:tcW w:type="dxa" w:w="2422"/>
          </w:tcPr>
          <w:p>
            <w:r>
              <w:t>КД-2026-014</w:t>
            </w:r>
          </w:p>
        </w:tc>
        <w:tc>
          <w:tcPr>
            <w:tcW w:type="dxa" w:w="2422"/>
          </w:tcPr>
          <w:p>
            <w:r>
              <w:t>12.03.2026</w:t>
            </w:r>
          </w:p>
        </w:tc>
        <w:tc>
          <w:tcPr>
            <w:tcW w:type="dxa" w:w="2422"/>
          </w:tcPr>
          <w:p>
            <w:r>
              <w:t>Закрыт</w:t>
            </w:r>
          </w:p>
        </w:tc>
        <w:tc>
          <w:tcPr>
            <w:tcW w:type="dxa" w:w="2422"/>
          </w:tcPr>
          <w:p>
            <w:r>
              <w:t>Входной контроль (п. 8.6)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Описание несоответствия</w:t>
            </w:r>
          </w:p>
        </w:tc>
        <w:tc>
          <w:tcPr>
            <w:tcW w:type="dxa" w:w="4844"/>
          </w:tcPr>
          <w:p>
            <w:r>
              <w:t>4 из 10 записей входного контроля (журнал ВК-03, записи 01-10.03.2026) не содержат подписи контролёра ОТК — нарушение п. 8.6 ИСО 9001.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Коррекция</w:t>
            </w:r>
          </w:p>
        </w:tc>
        <w:tc>
          <w:tcPr>
            <w:tcW w:type="dxa" w:w="4844"/>
          </w:tcPr>
          <w:p>
            <w:r>
              <w:t>Идентификация партий с недооформленными записями, дополнительная проверка качества. Выполнено: 13.03.2026, контролёр Иванов А.С.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Коренная причина</w:t>
              <w:br/>
              <w:t>(«5 почему»)</w:t>
            </w:r>
          </w:p>
        </w:tc>
        <w:tc>
          <w:tcPr>
            <w:tcW w:type="dxa" w:w="4844"/>
          </w:tcPr>
          <w:p>
            <w:r>
              <w:t>Почему 1: Контролёр заполняет журнал в конце смены по памяти</w:t>
              <w:br/>
              <w:t>Почему 2: Отсутствует рабочая инструкция о порядке ведения записей</w:t>
              <w:br/>
              <w:t>Почему 3: При обучении нового сотрудника этот аспект не передан</w:t>
              <w:br/>
              <w:t>Почему 4: Программа адаптации не включает раздел о ведении записей ВК</w:t>
              <w:br/>
              <w:t>Почему 5: Регламент адаптации не обновлялся с 2021 года</w:t>
              <w:br/>
              <w:br/>
              <w:t>Коренная причина: устаревший регламент адаптации персонала отдела ОТК.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Аналогичные процессы</w:t>
            </w:r>
          </w:p>
        </w:tc>
        <w:tc>
          <w:tcPr>
            <w:tcW w:type="dxa" w:w="4844"/>
          </w:tcPr>
          <w:p>
            <w:r>
              <w:t>Проверены: склад ГП, входной контроль площадки №2. Аналогичных нарушений не выявлено.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Корректирующие действия</w:t>
            </w:r>
          </w:p>
        </w:tc>
        <w:tc>
          <w:tcPr>
            <w:tcW w:type="dxa" w:w="4844"/>
          </w:tcPr>
          <w:p>
            <w:r>
              <w:t>1. Разработать РИ-ВК-01 «Порядок ведения записей ВК» (срок: 20.03, отв. Начальник ОТК)</w:t>
              <w:br/>
              <w:t>2. Обновить программу адаптации, включить раздел о записях ВК (срок: 25.03)</w:t>
              <w:br/>
              <w:t>3. Инструктаж всех контролёров ОТК (срок: 25.03)</w:t>
              <w:br/>
              <w:t>4. Включить проверку журнала в чек-лист сменного мастера (срок: 25.03)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Верификация</w:t>
            </w:r>
          </w:p>
        </w:tc>
        <w:tc>
          <w:tcPr>
            <w:tcW w:type="dxa" w:w="4844"/>
          </w:tcPr>
          <w:p>
            <w:r>
              <w:t>Проверка 20 последовательных записей через 30 дней. Критерий: 100% подписей. Дата: 25.04.2026.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Результат верификации</w:t>
            </w:r>
          </w:p>
        </w:tc>
        <w:tc>
          <w:tcPr>
            <w:tcW w:type="dxa" w:w="4844"/>
          </w:tcPr>
          <w:p>
            <w:r>
              <w:t>25.04.2026: проверено 20 записей → 20/20 подписаны. Критерий достигнут.</w:t>
            </w:r>
          </w:p>
        </w:tc>
      </w:tr>
      <w:tr>
        <w:tc>
          <w:tcPr>
            <w:tcW w:type="dxa" w:w="4844"/>
            <w:shd w:val="clear" w:color="auto" w:fill="EBF3FB"/>
          </w:tcPr>
          <w:p>
            <w:r>
              <w:rPr>
                <w:b/>
              </w:rPr>
              <w:t>Решение</w:t>
            </w:r>
          </w:p>
        </w:tc>
        <w:tc>
          <w:tcPr>
            <w:tcW w:type="dxa" w:w="4844"/>
          </w:tcPr>
          <w:p>
            <w:r>
              <w:t>КД результативно — ЗАКРЫТО 25.04.2026</w:t>
            </w:r>
          </w:p>
        </w:tc>
      </w:tr>
    </w:tbl>
    <w:p/>
    <w:p>
      <w:pPr>
        <w:jc w:val="left"/>
      </w:pPr>
      <w:r>
        <w:rPr>
          <w:b/>
          <w:sz w:val="24"/>
        </w:rPr>
        <w:t>ПРИЛОЖЕНИЕ 2: Типичные коренные причины по отраслям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3230"/>
            <w:shd w:val="clear" w:color="auto" w:fill="D6E4F7"/>
          </w:tcPr>
          <w:p>
            <w:r>
              <w:rPr>
                <w:b/>
              </w:rPr>
              <w:t>Производство</w:t>
            </w:r>
          </w:p>
        </w:tc>
        <w:tc>
          <w:tcPr>
            <w:tcW w:type="dxa" w:w="3230"/>
            <w:shd w:val="clear" w:color="auto" w:fill="D6E4F7"/>
          </w:tcPr>
          <w:p>
            <w:r>
              <w:rPr>
                <w:b/>
              </w:rPr>
              <w:t>Услуги</w:t>
            </w:r>
          </w:p>
        </w:tc>
        <w:tc>
          <w:tcPr>
            <w:tcW w:type="dxa" w:w="3230"/>
            <w:shd w:val="clear" w:color="auto" w:fill="D6E4F7"/>
          </w:tcPr>
          <w:p>
            <w:r>
              <w:rPr>
                <w:b/>
              </w:rPr>
              <w:t>Строительство</w:t>
            </w:r>
          </w:p>
        </w:tc>
      </w:tr>
      <w:tr>
        <w:tc>
          <w:tcPr>
            <w:tcW w:type="dxa" w:w="3230"/>
          </w:tcPr>
          <w:p>
            <w:r>
              <w:t>• Отсутствие/устаревание рабочих инструкций</w:t>
              <w:br/>
              <w:t>• Не настроен автоматический контроль параметров</w:t>
              <w:br/>
              <w:t>• Нет системы ТО оборудования</w:t>
              <w:br/>
              <w:t>• Инструмент не калибруется</w:t>
              <w:br/>
              <w:t>• Входной контроль не охватывает все партии</w:t>
            </w:r>
          </w:p>
        </w:tc>
        <w:tc>
          <w:tcPr>
            <w:tcW w:type="dxa" w:w="3230"/>
          </w:tcPr>
          <w:p>
            <w:r>
              <w:t>• Недостаточная квалификация персонала</w:t>
              <w:br/>
              <w:t>• Отсутствие чек-листов</w:t>
              <w:br/>
              <w:t>• Неэффективная система записей</w:t>
              <w:br/>
              <w:t>• Нет процедуры эскалации</w:t>
              <w:br/>
              <w:t>• Требования клиента не зафиксированы</w:t>
            </w:r>
          </w:p>
        </w:tc>
        <w:tc>
          <w:tcPr>
            <w:tcW w:type="dxa" w:w="3230"/>
          </w:tcPr>
          <w:p>
            <w:r>
              <w:t>• Проект не согласован с заказчиком</w:t>
              <w:br/>
              <w:t>• Материалы не проверены на входе</w:t>
              <w:br/>
              <w:t>• Субподрядчик без квалификации</w:t>
              <w:br/>
              <w:t>• Отсутствует операционный контроль</w:t>
              <w:br/>
              <w:t>• Изменения не проводятся через управление изменениями</w:t>
            </w:r>
          </w:p>
        </w:tc>
      </w:tr>
    </w:tbl>
    <w:p/>
    <w:p>
      <w:pPr>
        <w:jc w:val="center"/>
      </w:pPr>
      <w:r>
        <w:rPr>
          <w:color w:val="888888"/>
          <w:sz w:val="18"/>
        </w:rPr>
        <w:t>© ISO-Certificate.ru — бесплатные шаблоны для системы менеджмента качества по ИСО 9001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